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ПОСТУПАК ПРИПРЕМЕ И УСЛОВИ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rFonts w:ascii="TimesNewRomanBold,BoldItalic" w:hAnsi="TimesNewRomanBold,BoldItalic" w:cs="TimesNewRomanBold,BoldItalic"/>
          <w:b/>
          <w:bCs/>
          <w:i/>
          <w:iCs/>
          <w:sz w:val="25"/>
          <w:szCs w:val="25"/>
        </w:rPr>
      </w:pPr>
      <w:r>
        <w:rPr>
          <w:rFonts w:ascii="TimesNewRomanBold,BoldItalic" w:hAnsi="TimesNewRomanBold,BoldItalic" w:cs="TimesNewRomanBold,BoldItalic"/>
          <w:b/>
          <w:bCs/>
          <w:i/>
          <w:iCs/>
          <w:sz w:val="25"/>
          <w:szCs w:val="25"/>
        </w:rPr>
        <w:t>Појам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43.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 је завршни део студијског програма докторских студија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представља самостални и оригинални научноистраживачки рад кандидата у одговарајућој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научној области или више научних области и подложна је јавној оцени.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дисерација је рад монографског типа.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 може бити и скуп објављених научних радова који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представљају тематску целину, са синтетичким приказом докторске дисертације која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обавезно садржи увод, дискусију и закључак. Најмањи број радова за докторску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дисертацију овог типа је три из категорија М21, М22 или М23, а најмање један рад мора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бити из категорије М21 или М22. Кандидат мора обавезно бити први аутор најмање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три рада, од којих је бар један из категорије М21 или М22.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дисертација, треба да буде израђена у складу са етичким стандардима.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Облик и садржај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44.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 има прописан облик и садржај.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Облик и садржај докторске дисертације прописује Универзитет и саставни је део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овог правилника (Прилог 2: Облик и садржај докторске дисертације).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45.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 се пише и брани на српском језику.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Докторска дисертација се може написати и/или бранити и на страном језику и ако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студије не реализују на том језику, под условом да чланови комисије за оцену, односно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чланови Комисије за одбрану докторске дисертације владају тим језиком, при чему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сачињава проширени апстракт на српском језику.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Пријаве и извештаји Комисија, када се дисертација брани на страном језику, морају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да буду и на српском и на одговарајућем страном језику.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19/56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Пријава теме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46.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Студент подноси пријаву теме докторске дисертације на одговарајућем образцу који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је прописао Универзитет у Београду (Образац 2: Пријава теме докторске дисертације).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Пријава се подноси руководиоцу модула докторских студија.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Уз пријаву, студент прилаже: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1. образложење теме (научна област из које је предложена тема, предмет научног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истраживања, основне хипотезе, циљ истраживања и очекивани резултати, методе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истраживања и оквирни списак стручне литературе коју ће користити);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2. биографија кандидата;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3. библиографија кандидата;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4. изјава да предложену тему кандидат није пријавио на другој високошколској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установи у земљи или иностранству;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5. уколико је потребно, мишљење одговарајућих етичких комитета о етичким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аспектима истраживања, ако је предвиђено посебним прописима;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6. доказе да испуњава услове за пријаву теме.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Комисија за оцену научне заснованости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теме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47.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Комисију за оцену научне заснованости теме докторске дисертације именује Наставно-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научно веће Факултета на предлог већа надлежног одсека на основу иницијалног предлога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руководиоца модула докторских студија, који је претходно дужан да се консултује са ментором.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Комисију чине најмање три наставника и/или истраживача из научне области из које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тема докторске дисертације, који испуњавају услове из Стандарда, од којих најмање један члан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није у радном односу на Факултету.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Комисија бира председника из реда својих чланова.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Предложени ментор може, али не мора, бити члан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 писања извештаја о научној заснованости теме докторске дисертације, студент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дужан да пред именованом комисијом и руководиоцем модула одбрани пријављену тему.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 писања извештаја о научној заснованости теме докторске дисертације, студент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дужан да пред именованом комисијом и руководиоцем модула одбрани пријављену тему.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Кандидат брани предложену тему докторске дисертације пред Комисијом за оцену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научне заснованости теме докторске дисертације на усменој одбрани у року не дужем од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месец дана од дана формирања Комисије. На одбрани кандидат треба да покаже да влада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материјом која је у вези са темом докторске дисертације. Резултат одбране се оцењује са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"задовољио" или "није задовољио". У случају да кандидат не задовољи, одбрану теме може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поновити највише једанпут, а ако ни тада не задовољи, губи право на завршетак докторских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студија.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20/56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је резултат усмене одбране "није задовољио", Комисију за оцену научне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заснованости теме докторске дисертације о томе подноси извештај Наставно-научном већу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 року од два месеца од усмене одбране. Извештај Комисије садржи, између осталог: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име кандидата и радни наслов теме;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резултат усмене одбране;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оригиналне потписе чланова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је резултат јавне усмене одбране "задовољио", Комисија заједно са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предложеним ментором подноси извештај Наставно-научном већу написан на основу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упутства надлежног универзитетског већа за писање извештаја за прихватање теме (Прилог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3.)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Извештај Комисије за оцену научне заснованости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теме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48.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Председник Комисије за оцену научне заснованости теме докторске дисертације, 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року од 30 дана од дана именовања Комисије, припрема извештај о оцени и научној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заснованости теме докторске дисетације, на основу мишљења чланова Комисије, а извештај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потписују сви чланови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Извештај Комисије из става 1. овог члана садржи: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основне податке о кандидату и дисертацији (име, презиме и биографију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кандидата, предлог теме, податке о претходном школовању кандидата и 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оствареним ЕСПБ бодовима на докторским студијама и оцену важнијих радова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кандидата);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предмет и циљ дисертације (показати да је реч о оригиналној идеји значајној за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развој науке, њену примену, односно развој научне мисли уопште);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основне хипотезе од којих ће се полазити у истраживању (хипотезе које ће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научно потврдити или оповргнути);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методе које ће се у истраживању применити;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очекиване резултате и научни допринос (конкретно навести очекивани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допринос одређеној области науке);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оквирни списак литературе;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закључак;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име и референце предложеног ментора;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датум и потпис чланова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Комисије може поднети издвојено мишљење о научној заснованости теме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докторске дисертације, са образложењем.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 Комисије се предаје у писаном и електронском облику.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 се доставља Наставно-научном већу Факултета.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Наставно-научно веће одобрава тему докторске дисертације и прослеђује је Већу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научних области Универзитета, које даје сагласност на тему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21/56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Комисија не сачини извештај у року из става 1. овог члана, на предлог декана,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именује се нова Комисија, по истој процедури као и претходна. Под новом Комисијом сматра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се Комисија у којој је промењено најмање два члана у односу на претходну Комисију, при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чему се одређује нови председник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Одлука о прихватању теме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дисертације и одређивању ментора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49.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Одлуку о прихватању теме докторске дисертације и одређивању ментора доноси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Наставно-научно веће Факултета, на основу предлога надлежног Већа одсека, на основу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Извештаја Комисије из члана 47. и писане сагласности о прихватању менторства.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Наставно-научно веће, тј. надлежно Веће одсека, приликом доношења одлуке оцењује: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Courier" w:hAnsi="Courier" w:cs="Courier"/>
        </w:rPr>
        <w:t xml:space="preserve">- </w:t>
      </w:r>
      <w:r>
        <w:t>да ли је реч о оригиналној идеји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Courier" w:hAnsi="Courier" w:cs="Courier"/>
        </w:rPr>
        <w:t xml:space="preserve">- </w:t>
      </w:r>
      <w:r>
        <w:t>да ли је тема од значаја за развој науке, примену њених резултата, односно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развој научне мисли уопште.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Наставно-научно веће Факултета, разматра Извештај, на предлог већа надлежног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одсека и може донети одлуку о прихватању теме докторске дисертације и одређивању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ментора, одлуку о неприхватању теме докторске дисертације и одређивању ментора,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односно закључак о одлагању, са предлогом у ком делу и на који начин је потребно да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 Комисије за оцену научне заснованости теме докторске дисертације измени или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допуни и у ком року.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Негативна одлука Наставно-научног већа из става 3. овог члана мора бити образложена.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Сагласност на одлуку о прихватању теме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дисертације и одређивању ментора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50.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 одлуку о прихватању теме докторске дисертације и одређивању ментора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сагласност даје одговарајуће веће научних области Универзитета.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Уз захтев за давање сагласности (Образац 3.), Већу научних области прилажу се и: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Courier" w:hAnsi="Courier" w:cs="Courier"/>
        </w:rPr>
        <w:t xml:space="preserve">- </w:t>
      </w:r>
      <w:r>
        <w:t>одлука Наставно-научног већа Факултета о прихватању теме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дисертације и одређивању ментора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Courier" w:hAnsi="Courier" w:cs="Courier"/>
        </w:rPr>
        <w:t xml:space="preserve">- </w:t>
      </w:r>
      <w:r>
        <w:t>Извештај Комисије о оцени научне заснованости теме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Веће научних области оцењује: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1. да ли се из образложења теме може закључити да је реч о оригиналној идеји;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2. да ли је предложена тема од значаја за развој науке, примену њених резултата,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односно развој научне мисли уопште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 да ли ментор испуњава услове прописане овим Правилником.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 поступку одлучивања о захтеву за давање сагласности, Веће научних области може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донети одлуку о давању сагласности или одлуку да се не даје сагласност на одлуку 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22/56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прихватању теме докторске дисертације и одређивању ментора. Ако Веће научних области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оцени да недостају одређени елементи потребни за одлучивање, донеће закључак о одлагању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разматрања захтева ради прибављања допуне и одредиће рок у коме Факултет треба да достави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тражену допуну.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Веће научних области је дужно да донесе одлуку о давању или одлуку којом се не даје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сагласност у року од 60 дана од дана пријема захтева на Универзитету.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Негативна одлука Већа научних области из става 5. овог члана мора бити образложена.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 негативну одлуку већа научних области из става 5. овог члана Факултет-подносилац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захтева може поднети приговор Сенату Универзитета, у року од 15 дана од дана пријема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одлуке.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Сенат може усвојити приговор ако утврди да је основан и донети одлуку о давању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сагласности на предлог теме докторске дисертације и одређивању ментора или одбити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приговор као неоснован и донети одлуку којом се потврђује првостепена одлука.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Одлука Сената Универзитета о приговору је коначна.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Достављање одлуке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51.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 добијању сагласности, Факултет одлуку о прихватању теме и одређивању ментора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доставља студенту и ментору.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Оцена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52.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Студент који је завршио израду докторске дисертације подноси је на оцену уколико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испунио све услове предвиђене студијским програмом докторских студија и има као први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аутор најмање један објављен рад у научном часопису са SCI листе, који је садржински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повезан са темом докторске дисертације, у складу са Стандардима и општим актом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факултета.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Уколико рад није објављен у часопису, прихватиће се и рад коме је додељен DOI број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или уз потврду о његовом прихватању.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има више аутора рада са подједнаким доприносом у раду са подједнаким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доприносом у раду, само јадан од аутора може користити тај рад као услов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Када је докторска дисертација у облику скупа објављених научних радова, кандидат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мора испунити услове дефинисане чланом 42. став 3. овог Правилника.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Студент израђену докторску дисертацију доставља у (довољном/одговарајућем броју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примерака, за све чланове комисије и ментора, два примерка преко Студентске службе за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Ректорат и три за библиотеку) 11 штампаних примерака најчешће, као и идентичну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23/56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електронску верзију, преко Службе за наставу и студентска питања.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Докторску дисертацију у електронском облику и одговарајућем броју штампаних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примерака студент подноси Факултету најкасније шест месеци пре истека рока за завршетак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студија.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Уз дисертацију, кандидат подноси писану сагласност ментора да може поднети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докторску дисертацију на оцену.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53.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 упућивања докторске дисертације у поступак оцењивања Факултет врши проверу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оригиналности софтвером за откривање плагијата који обезбеђује Универзитет.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се софтвером утврди постојање чињеница које указују на плагијат, о томе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обавештава декан, односно надлежни продекан Факултета, а предмет се прослеђује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ментору.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Ментор је у обавези да уради процену оригиналности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узимајући у обзир резултате софтверске анализе.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Писано мишљење о процени оригиналности докторске дисертације и резултате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софтверске анализе ментор доставља декану, односно надлежном продекану.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Комисија за оцену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54.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 пријему завршене докторске дисертације, Наставно-научно веће на предлог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надлежног већа одсека, тј. руководиоца модула докторских студија, уз претходну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консултацију са ментором, именује Комисију за оцену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Комисију из става 1. овог члана чине најмање три, а највише пет чланова, од којих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најмање један члан није у радном односу на Факултету.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Комисије из става 1. овог члана може бити наставник Универзитета или лице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изабрано у научно звање, из земље или иностранства, са научним референцама из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одговарајуће научне области из које је тема докторске дисертације, ако испуњава услове из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члана 29. овог Правилника и познаје језик на коме је написана докторска дисертација.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Комисија из става 1. овог члана бира председника из реда својих чланова.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Ментор не може бити члан Комисије за оцену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24/56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Извештај Комисије за оцену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55.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Председник Комисије за оцену докторске дисертације припрема Извештај који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потписују сви чланови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 Комисије из ст. 1. овог члана садржи: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основне податке о кандидату и дисертацији (основни подаци о кандидату,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наслову дисертације, њеном обиму и библиографским подацима);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  <w:sz w:val="22"/>
          <w:szCs w:val="22"/>
        </w:rPr>
        <w:t></w:t>
      </w:r>
      <w:r>
        <w:rPr>
          <w:rFonts w:ascii="Symbol" w:hAnsi="Symbol" w:cs="Symbol"/>
          <w:sz w:val="22"/>
          <w:szCs w:val="22"/>
        </w:rPr>
        <w:t></w:t>
      </w:r>
      <w:r>
        <w:t>предмет и циљ дисертације (показати да је реч о оригиналној идеји значајној за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развој науке, њену примену, односно развој научне мисли уопште);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основне хипотезе од којих се се полазило у истраживању (да ли су хипотезе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научно потврђене);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кратак опис садржаја дисертације;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остварене резултате и научни допринос дисертације (конкретно навести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остварени допринос одређеној области науке);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објављене и саопштене резултате који чине део докторске дисертације;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закључак са образложењем научног доприноса докторске дисертације (навести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да је дисертација урађена према одобреној пријави, да је оригинално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самостално научно дело и да су се стекли услови за њену јавну одбрану)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rFonts w:ascii="Symbol" w:hAnsi="Symbol" w:cs="Symbol"/>
          <w:sz w:val="22"/>
          <w:szCs w:val="22"/>
        </w:rPr>
        <w:t></w:t>
      </w:r>
      <w:r>
        <w:rPr>
          <w:rFonts w:ascii="Symbol" w:hAnsi="Symbol" w:cs="Symbol"/>
          <w:sz w:val="22"/>
          <w:szCs w:val="22"/>
        </w:rPr>
        <w:t></w:t>
      </w:r>
      <w:r>
        <w:t>датум и потпис чланова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Комисије из става 1. овог члана може поднети издвојену оцену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дисертације, са образложењем.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Комисија за оцену докторске дисертације може донети одлуку да докторска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дисертација може да се прихвати у предатом облику, или да је потребно извршити одређене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исправке, или да докторска дисертација не може да се прихвати.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 року од 45 дана од дана именовања, Комисија подноси Наставно-научном већу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Факултета извештај о оцени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 случају да Комисија не сачини извештај у року из става 4. овог члана, именује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нова Комисија, на предлог декана, по истој процедури као и претходна.Под новом Комисијом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сматра се Комисија у којој је промењено најмање два члана, у односу на претходну Комисију,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 чему се одређује нови председник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Увид јавности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56.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Након пријема извештаја Комисије за оцену докторске дисертације, декан је дужан да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докторску дисертацију и извештај Комисије о оцени докторске дисертације учини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доступном јавности у библиотеци Факултета и у електронској верзији на званичној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интернет страници Факултета и Универзитета, до одбране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Рок за увид јавности је 30 дана пре усвајања извештаја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25/56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Примедбе на Извештај или на докторску дисертацију подносе се искључиво у писаној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форми, преко писарнице Факултета, препорученом пошиљком са повратницом или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директно преко пријемне књиге.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Комисија за оцену докторске дисертације, у року од 30 дана, даје мишљење 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примедбама и целокупну документацију доставља надлежном већу одсека тј. Наставно-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научном већу Факултета на разматрање.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Одлуке о усвајању извештаја Комисије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 оцену докторске дисертације и именовање Комисије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Члан 57.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Одлуку о усвајању извештаја Комисије за оцену докторске дисертације и именовање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Комисије за одбрану докторске дисертације доноси Наставно-научно веће Факултета, на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предлог надлежног већа одсека, по истеку рока из члана 56. став 2. односно 4. овог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Правилника.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lastRenderedPageBreak/>
        <w:t>Наставно-научно веће факултета тј. надлежно веће одсека, разматрајући извештај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Комисије даје оцену и образлаже: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1. да ли је завршена докторска дисертација у складу са одобреном темом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rPr>
          <w:sz w:val="22"/>
          <w:szCs w:val="22"/>
        </w:rPr>
        <w:t xml:space="preserve">2. </w:t>
      </w:r>
      <w:r>
        <w:t>да ли наводи садржани у реферату потврђују да су се стекли услови за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t>одбрану докторске дисертације</w:t>
      </w:r>
      <w:r>
        <w:rPr>
          <w:sz w:val="22"/>
          <w:szCs w:val="22"/>
        </w:rPr>
        <w:t>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Наставно-научно веће Факултета односно надлежно веће одсека, разматрајући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извештај може донети одлуку о усвајању извештаја и именовати Комисију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докторске дисертације, одлуку којом се извештај не усваја, или закључак о одлагању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доношења одлуке са предлогом у ком делу и на који начин је потребно да се извештај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Комисије за оцену докторске дисертације измени или допуни и у ком року.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наставно-научно веће факултета не прихвати извештај Комисије, именује се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нова комисија. Одлука о неприхватању извештаја мора бити образложена.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Уколико наставно-научно веће прихвати негативан извештај Комисије за оцену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докторске дисертације, докторска дисертација се одбија и кандидат не може поново да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пријави. Одлука о одбијању мора бити образложена.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</w:pPr>
      <w:r>
        <w:t>Одлука наставно-научног већа Факултета је коначна.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Комисија за одбрану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58.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У Комисију за одбрану докторске дисертације могу се именовати чланови Комисије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 оцену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Комисију за одбрану докторске дисертације чине најмање три, а највише пет чланова,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 којих најмање један члан није у радном односу на Факултету.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26/56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Комисије из става 2. овог члана може бити наставник Универзитета или лице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изабрано у научно звање, из земље или иностранства, са научним референцама из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одговарајуће научне области из које је тема докторске дисертације, ако испуњава услове из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члана 29. овог Правилника и познаје језик на коме је написана докторска дисертација.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Комисија из става 2. овог члана бира председника из реда својих чланова.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Ментор не може бити члан Комисије за одбрану.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Сагласност на одлуку о усвајању Извештаја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Комисије за оцену докторске дисертације и 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именовању Комисије за одбрану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59.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 одлуке о усвајању Извешатаја Комисије за оцену докторске дисертације и одлуку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 именовању Комисије за одбрану докторске дисертације сагласност даје одговарајуће Веће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научних области Универзитета.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Уз захтев за давање сагласности (Образац 4), Већу научних области прилажу се и: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Symbol" w:hAnsi="Symbol" w:cs="Symbol"/>
          <w:b/>
          <w:bCs/>
        </w:rPr>
        <w:t></w:t>
      </w:r>
      <w:r>
        <w:rPr>
          <w:rFonts w:ascii="Symbol" w:hAnsi="Symbol" w:cs="Symbol"/>
          <w:b/>
          <w:bCs/>
        </w:rPr>
        <w:t></w:t>
      </w:r>
      <w:r>
        <w:rPr>
          <w:b/>
          <w:bCs/>
        </w:rPr>
        <w:t>одлука Наставно-научног већа Факултета о усвајању извештаја Комисије за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оцену докторске дисертације;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Symbol" w:hAnsi="Symbol" w:cs="Symbol"/>
          <w:b/>
          <w:bCs/>
        </w:rPr>
        <w:t></w:t>
      </w:r>
      <w:r>
        <w:rPr>
          <w:rFonts w:ascii="Symbol" w:hAnsi="Symbol" w:cs="Symbol"/>
          <w:b/>
          <w:bCs/>
        </w:rPr>
        <w:t></w:t>
      </w:r>
      <w:r>
        <w:rPr>
          <w:b/>
          <w:bCs/>
        </w:rPr>
        <w:t>извештај Комисије о оцени докторске дисертације;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Symbol" w:hAnsi="Symbol" w:cs="Symbol"/>
          <w:b/>
          <w:bCs/>
        </w:rPr>
        <w:t></w:t>
      </w:r>
      <w:r>
        <w:rPr>
          <w:rFonts w:ascii="Symbol" w:hAnsi="Symbol" w:cs="Symbol"/>
          <w:b/>
          <w:bCs/>
        </w:rPr>
        <w:t></w:t>
      </w:r>
      <w:r>
        <w:rPr>
          <w:b/>
          <w:bCs/>
        </w:rPr>
        <w:t>примедбе на Извештај Комисије (уколико их је било);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Symbol" w:hAnsi="Symbol" w:cs="Symbol"/>
          <w:b/>
          <w:bCs/>
        </w:rPr>
        <w:t></w:t>
      </w:r>
      <w:r>
        <w:rPr>
          <w:rFonts w:ascii="Symbol" w:hAnsi="Symbol" w:cs="Symbol"/>
          <w:b/>
          <w:bCs/>
        </w:rPr>
        <w:t></w:t>
      </w:r>
      <w:r>
        <w:rPr>
          <w:b/>
          <w:bCs/>
        </w:rPr>
        <w:t>мишљење Комисије за оцену докторске дисертације о примедбама (уколико их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lastRenderedPageBreak/>
        <w:t>је било);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Symbol" w:hAnsi="Symbol" w:cs="Symbol"/>
          <w:b/>
          <w:bCs/>
        </w:rPr>
        <w:t></w:t>
      </w:r>
      <w:r>
        <w:rPr>
          <w:rFonts w:ascii="Symbol" w:hAnsi="Symbol" w:cs="Symbol"/>
          <w:b/>
          <w:bCs/>
        </w:rPr>
        <w:t></w:t>
      </w:r>
      <w:r>
        <w:rPr>
          <w:b/>
          <w:bCs/>
        </w:rPr>
        <w:t>одлука Наставно-научног већа Факултета о именовању Комисије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Веће научних области оцењује: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1. да ли је урађена докторска дисертација у складу са темом на коју 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Универзитет дао сагласност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>
        <w:rPr>
          <w:b/>
          <w:bCs/>
        </w:rPr>
        <w:t>да ли наводи садржани у Извештају потврђују да су се стекли услови за одбрану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>докторске дисертације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У поступку одлучивања о захтеву за давање сагласности на одлуку о усвајању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Извештаја Комисије и одлуку о именовању Комисије за одбрану докторске дисертације,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Веће научних бласти може донети одлуку о давању сагласности или одлуку да се не даје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сагласност на одлуку о усвајању Извештаја. Ако Веће научних области оцени да недостају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одређени елементи потребни за одлучивање, донеће закључак о одлагању разматрања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захтева, ради прибављања допуне и одредиће рок у коме Факултет треба да достави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тражену допуну.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Веће научних области дужно је да донесе одлуку о давању или одлуку којом се не даје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сагласност у року од 60 дана од дана пријема захтева на Универзитету.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Негативна одлука Већа научних области из става 5. овог члана мора бити образложена.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27/56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 негативну одлуку Већа научних области из става 5. овог члана, Факултет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подносилац захтева може поднети приговор Сенату Универзитета у року од 15 дана од дана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пријема одлуке.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Сенат може усвојити приговор ако утврди да је основан и донети одлуку о давању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сагласности на Извештај о урађеној докторској дисертацији или одбити приговор као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неоснован и донети одлуку којом се потврђује првостепена одлука.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Одлука Сената Универзитета о приговору је коначна.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rFonts w:ascii="TimesNewRomanBold,Bold" w:hAnsi="TimesNewRomanBold,Bold" w:cs="TimesNewRomanBold,Bold"/>
          <w:b/>
          <w:bCs/>
        </w:rPr>
      </w:pPr>
      <w:r>
        <w:rPr>
          <w:rFonts w:ascii="TimesNewRomanBold,Bold" w:hAnsi="TimesNewRomanBold,Bold" w:cs="TimesNewRomanBold,Bold"/>
          <w:b/>
          <w:bCs/>
        </w:rPr>
        <w:t>ЈАВНА ОДБРАНА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60.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Одбрана докторске дисертације је усмена и јавна, а кандидат је брани пред Комисијом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 одбрану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Дан, час и место одбране заказује се посебном одлуком декана.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Информација о одбрани докторске дисертације са подацима о кандидату, теми,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времену и месту одржавања одбране, објављује се у средствима јавног информисања и на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интернет страници Факултета, најкасније пет дана пре датума одржавања одбране.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Одбрани обавезно присуствује ментор и сви чланови Комисије за одбрану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lastRenderedPageBreak/>
        <w:t>Изузетно, члан Комисије за одбрану докторске дисертације који је из иностранства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може учествовати у одбрани путем видео конференцијске линије, што се констатује 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записнику са одбране докторске 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Председник Комисије за одбрану докторске дисертације отвара поступак усмене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одбране, укратко износи биографске податке о кандидату и процедурама које су претходиле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одбрани.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После речи председника Комисије за одбрану докторске дисертације, кандидат 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оквиру времена које му одреди Комисија, а највише до 45 минута, излаже садржај своје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дисертације, методе које је применио, посебно истиче научне доприносе и износи закључке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 којих је у докторској дисертацији дошао.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После излагања кандидата, чланови Комисије за одбрану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постављају питања, а могу тражити и објашњења у вези са дисертацијом. Кандидат је,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дужан да одговори на питања која му поставе чланови Комисије и да пружи тражена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објашњења.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Када Комисијa за одбрану докторске дисертације утврди да се о предмету одбране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довољно расправљало, председник Комисије саопштава да је одбрана закључена 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Комисија се повлачи ради гласања и доношења одлуке.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28/56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Одлука о одбрани докторске дисертације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61.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Комисијa за одбрану докторске дисертације може донети одлуку да је кандидат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''одбранио'' или ''није одбранио'' докторску дисертацију.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Одлука се доноси већином гласова укупног броја чланова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Након доношења одлуке, председник Комисије јавно саопштава одлуку.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 усменој одбрани докторске дисертације води се записник који потписују сви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чланови Комисије.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 крају записника ставља се забелешка да је ментор присуствовао одбрани докторске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дисертације.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Комисије из члана 59. став 5.овог правилника не потписује записник из става 4.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овог члана, већ се изјашњава о прихватању записника , о чему се на крају записника ставља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посебна забелешка.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Записник се саставља на српском језику, а у случају одбране на неком другом језику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записник се саставља и на том језику.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Докторска дисертација се брани само једанпут.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Члан 62.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Лице које одбрани докторску дисертацију стиче научни назив доктор наука-</w:t>
      </w:r>
    </w:p>
    <w:p w:rsidR="00262284" w:rsidRDefault="00262284" w:rsidP="00262284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биотехничке науке (Др), у складу са Правилником о листи стручних, академских и научних</w:t>
      </w:r>
    </w:p>
    <w:p w:rsidR="007E792A" w:rsidRDefault="00262284" w:rsidP="00262284">
      <w:r>
        <w:rPr>
          <w:b/>
          <w:bCs/>
        </w:rPr>
        <w:lastRenderedPageBreak/>
        <w:t>назива Националног савета за високо образовање и акредитованим студијским програмом.__</w:t>
      </w:r>
    </w:p>
    <w:sectPr w:rsidR="007E792A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Bold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Bol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2284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1B41"/>
    <w:rsid w:val="00042E15"/>
    <w:rsid w:val="0004311C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62B9"/>
    <w:rsid w:val="000C6B8B"/>
    <w:rsid w:val="000C6CCB"/>
    <w:rsid w:val="000C7ACE"/>
    <w:rsid w:val="000D07B8"/>
    <w:rsid w:val="000D1097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194C"/>
    <w:rsid w:val="001022C5"/>
    <w:rsid w:val="00102CA7"/>
    <w:rsid w:val="00105B3E"/>
    <w:rsid w:val="00105BE6"/>
    <w:rsid w:val="00105F9C"/>
    <w:rsid w:val="0010680E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6AA4"/>
    <w:rsid w:val="001273E8"/>
    <w:rsid w:val="00127F80"/>
    <w:rsid w:val="0013073D"/>
    <w:rsid w:val="00130CC7"/>
    <w:rsid w:val="00130EFE"/>
    <w:rsid w:val="0013258A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53EE"/>
    <w:rsid w:val="00175DB6"/>
    <w:rsid w:val="001768CE"/>
    <w:rsid w:val="00180EFA"/>
    <w:rsid w:val="00181BC7"/>
    <w:rsid w:val="001838FF"/>
    <w:rsid w:val="00184997"/>
    <w:rsid w:val="0018510C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C6838"/>
    <w:rsid w:val="001D02A0"/>
    <w:rsid w:val="001D0D68"/>
    <w:rsid w:val="001D1604"/>
    <w:rsid w:val="001D1679"/>
    <w:rsid w:val="001D2055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09A0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84"/>
    <w:rsid w:val="002622B4"/>
    <w:rsid w:val="002628E7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0C9B"/>
    <w:rsid w:val="00282EDF"/>
    <w:rsid w:val="00284917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4C61"/>
    <w:rsid w:val="002A4C72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1C38"/>
    <w:rsid w:val="002C23F9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47EF"/>
    <w:rsid w:val="00364E6E"/>
    <w:rsid w:val="0036518F"/>
    <w:rsid w:val="003653F1"/>
    <w:rsid w:val="003659ED"/>
    <w:rsid w:val="003664EB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191F"/>
    <w:rsid w:val="003B5870"/>
    <w:rsid w:val="003B67F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40FE"/>
    <w:rsid w:val="004C5A42"/>
    <w:rsid w:val="004C6D41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133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4CAC"/>
    <w:rsid w:val="00555E0C"/>
    <w:rsid w:val="00556E26"/>
    <w:rsid w:val="0055721B"/>
    <w:rsid w:val="005615B8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3C8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DBA"/>
    <w:rsid w:val="00760E28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7CCF"/>
    <w:rsid w:val="00850C20"/>
    <w:rsid w:val="00851A89"/>
    <w:rsid w:val="00852875"/>
    <w:rsid w:val="008531B7"/>
    <w:rsid w:val="00853300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66A"/>
    <w:rsid w:val="008E57BA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98A"/>
    <w:rsid w:val="00937E33"/>
    <w:rsid w:val="009409E4"/>
    <w:rsid w:val="00941DA8"/>
    <w:rsid w:val="00942578"/>
    <w:rsid w:val="009433AE"/>
    <w:rsid w:val="00944369"/>
    <w:rsid w:val="009475D7"/>
    <w:rsid w:val="0095078D"/>
    <w:rsid w:val="00950AFB"/>
    <w:rsid w:val="00951097"/>
    <w:rsid w:val="009513C5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16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55BE"/>
    <w:rsid w:val="00A37F36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97F15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4A3B"/>
    <w:rsid w:val="00AC62D2"/>
    <w:rsid w:val="00AC79A5"/>
    <w:rsid w:val="00AD032C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36BEA"/>
    <w:rsid w:val="00B4083F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A96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40C7"/>
    <w:rsid w:val="00BB608F"/>
    <w:rsid w:val="00BC02DD"/>
    <w:rsid w:val="00BC08DF"/>
    <w:rsid w:val="00BC0A13"/>
    <w:rsid w:val="00BC19AA"/>
    <w:rsid w:val="00BC4006"/>
    <w:rsid w:val="00BC41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41E0"/>
    <w:rsid w:val="00CA53E1"/>
    <w:rsid w:val="00CA5598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97C"/>
    <w:rsid w:val="00D91D99"/>
    <w:rsid w:val="00D92229"/>
    <w:rsid w:val="00D926B6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0208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638"/>
    <w:rsid w:val="00E8384A"/>
    <w:rsid w:val="00E83EBE"/>
    <w:rsid w:val="00E84D36"/>
    <w:rsid w:val="00E85299"/>
    <w:rsid w:val="00E856FA"/>
    <w:rsid w:val="00E861A0"/>
    <w:rsid w:val="00E86562"/>
    <w:rsid w:val="00E877CE"/>
    <w:rsid w:val="00E9069C"/>
    <w:rsid w:val="00E91E94"/>
    <w:rsid w:val="00E91F9E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30DF"/>
    <w:rsid w:val="00EC44C2"/>
    <w:rsid w:val="00EC4E33"/>
    <w:rsid w:val="00EC4EA5"/>
    <w:rsid w:val="00EC5DCC"/>
    <w:rsid w:val="00EC658F"/>
    <w:rsid w:val="00EC6898"/>
    <w:rsid w:val="00ED0297"/>
    <w:rsid w:val="00ED066F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310D6"/>
    <w:rsid w:val="00F3175D"/>
    <w:rsid w:val="00F32925"/>
    <w:rsid w:val="00F338DC"/>
    <w:rsid w:val="00F33E45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B41"/>
    <w:rsid w:val="00F51385"/>
    <w:rsid w:val="00F5244E"/>
    <w:rsid w:val="00F52A78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1583"/>
    <w:rsid w:val="00F93942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3348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2019-05-02T12:04:00Z</dcterms:created>
  <dcterms:modified xsi:type="dcterms:W3CDTF">2019-05-02T12:05:00Z</dcterms:modified>
</cp:coreProperties>
</file>